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color w:val="000000"/>
          <w:sz w:val="24"/>
          <w:szCs w:val="24"/>
          <w:rtl w:val="0"/>
        </w:rPr>
        <w:t xml:space="preserve">Restrictions on certain subcontractors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w:t>
      </w:r>
      <w:r w:rsidDel="00000000" w:rsidR="00000000" w:rsidRPr="00000000">
        <w:rPr>
          <w:rFonts w:ascii="Arial" w:cs="Arial" w:eastAsia="Arial" w:hAnsi="Arial"/>
          <w:sz w:val="24"/>
          <w:szCs w:val="24"/>
          <w:rtl w:val="0"/>
        </w:rPr>
        <w:t xml:space="preserve">21</w:t>
      </w:r>
      <w:r w:rsidDel="00000000" w:rsidR="00000000" w:rsidRPr="00000000">
        <w:rPr>
          <w:rFonts w:ascii="Arial" w:cs="Arial" w:eastAsia="Arial" w:hAnsi="Arial"/>
          <w:color w:val="000000"/>
          <w:sz w:val="24"/>
          <w:szCs w:val="24"/>
          <w:rtl w:val="0"/>
        </w:rPr>
        <w:t xml:space="preserve"> of the Framework Award 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 appointment of a proposed Key Subcontractor may prejudice the provision of the Deliverables or may be contrary to its interests;</w:t>
      </w:r>
      <w:r w:rsidDel="00000000" w:rsidR="00000000" w:rsidRPr="00000000">
        <w:rPr>
          <w:rtl w:val="0"/>
        </w:rPr>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 proposed Key Subcontractor is unreliable and/or has not provided reliable goods and or reasonable services to its other customers; and/or</w:t>
      </w:r>
      <w:r w:rsidDel="00000000" w:rsidR="00000000" w:rsidRPr="00000000">
        <w:rPr>
          <w:rtl w:val="0"/>
        </w:rPr>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 proposed Key Subcontractor employs unfit persons.</w:t>
      </w:r>
      <w:r w:rsidDel="00000000" w:rsidR="00000000" w:rsidRPr="00000000">
        <w:rPr>
          <w:rtl w:val="0"/>
        </w:rPr>
      </w:r>
    </w:p>
    <w:p w:rsidR="00000000" w:rsidDel="00000000" w:rsidP="00000000" w:rsidRDefault="00000000" w:rsidRPr="00000000" w14:paraId="00000009">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the proposed Key Subcontractor’s name, registered office and company registration number;</w:t>
      </w:r>
      <w:r w:rsidDel="00000000" w:rsidR="00000000" w:rsidRPr="00000000">
        <w:rPr>
          <w:rtl w:val="0"/>
        </w:rPr>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the scope/description of any Deliverables to be provided by the proposed Key Subcontractor; </w:t>
      </w:r>
      <w:r w:rsidDel="00000000" w:rsidR="00000000" w:rsidRPr="00000000">
        <w:rPr>
          <w:rtl w:val="0"/>
        </w:rPr>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where the proposed Key Subcontractor is an Affiliate of the Supplier, evidence that demonstrates to the reasonable satisfaction of the CCS and the Buyer that the proposed Key Sub-Contract has been agreed on "arm’s-length" terms;</w:t>
      </w:r>
      <w:r w:rsidDel="00000000" w:rsidR="00000000" w:rsidRPr="00000000">
        <w:rPr>
          <w:rtl w:val="0"/>
        </w:rPr>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for CCS, the Key Sub-Contract price expressed as a percentage of the total projected Framework Price over the Framework Contract Period; </w:t>
      </w:r>
      <w:r w:rsidDel="00000000" w:rsidR="00000000" w:rsidRPr="00000000">
        <w:rPr>
          <w:rtl w:val="0"/>
        </w:rPr>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for the Buyer, the Key Sub-Contract price expressed as a percentage of the total projected Charges over the Call Off Contract Period; and</w:t>
      </w:r>
      <w:r w:rsidDel="00000000" w:rsidR="00000000" w:rsidRPr="00000000">
        <w:rPr>
          <w:rtl w:val="0"/>
        </w:rPr>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(where applicable) Credit Rating Threshold (as defined in Joint Schedule 7 (Financial Distress)) of the Key Subcontractor.</w:t>
      </w:r>
      <w:r w:rsidDel="00000000" w:rsidR="00000000" w:rsidRPr="00000000">
        <w:rPr>
          <w:rtl w:val="0"/>
        </w:rPr>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3znysh7" w:id="3"/>
      <w:bookmarkEnd w:id="3"/>
      <w:r w:rsidDel="00000000" w:rsidR="00000000" w:rsidRPr="00000000">
        <w:rPr>
          <w:rFonts w:ascii="Arial" w:cs="Arial" w:eastAsia="Arial" w:hAnsi="Arial"/>
          <w:color w:val="000000"/>
          <w:sz w:val="24"/>
          <w:szCs w:val="24"/>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a copy of the proposed Key Sub-Contract; and </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any further information reasonably requested by CCS and/or the Buyer.</w:t>
      </w:r>
      <w:r w:rsidDel="00000000" w:rsidR="00000000" w:rsidRPr="00000000">
        <w:rPr>
          <w:rtl w:val="0"/>
        </w:rPr>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2et92p0" w:id="4"/>
      <w:bookmarkEnd w:id="4"/>
      <w:r w:rsidDel="00000000" w:rsidR="00000000" w:rsidRPr="00000000">
        <w:rPr>
          <w:rFonts w:ascii="Arial" w:cs="Arial" w:eastAsia="Arial" w:hAnsi="Arial"/>
          <w:color w:val="000000"/>
          <w:sz w:val="24"/>
          <w:szCs w:val="24"/>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provisions which will enable the Supplier to discharge its obligations under the Contracts;</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a right under CRTPA for CCS and the Buyer to enforce any provisions under the Key Sub-Contract which confer a benefit upon CCS and the Buyer respectively;</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a provision enabling CCS and the Buyer to enforce the Key Sub-Contract as if it were the Supplier; </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a provision enabling the Supplier to assign, novate or otherwise transfer any of its rights and/or obligations under the Key Sub-Contract to CCS and/or the Buyer; </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obligations no less onerous on the Key Subcontractor than those imposed on the Supplier under the Framework Contract in respect of:</w:t>
      </w:r>
      <w:r w:rsidDel="00000000" w:rsidR="00000000" w:rsidRPr="00000000">
        <w:rPr>
          <w:rtl w:val="0"/>
        </w:rPr>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data protection requirements set out in Clause 14 of the Core Terms (Data protection);</w:t>
      </w:r>
      <w:r w:rsidDel="00000000" w:rsidR="00000000" w:rsidRPr="00000000">
        <w:rPr>
          <w:rtl w:val="0"/>
        </w:rPr>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FOIA and other access request requirements set out in Clause 16 of the Core Terms (When you can share information);</w:t>
      </w:r>
      <w:r w:rsidDel="00000000" w:rsidR="00000000" w:rsidRPr="00000000">
        <w:rPr>
          <w:rtl w:val="0"/>
        </w:rPr>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obligation not to embarrass CCS or the Buyer or otherwise bring CCS or the Buyer into disrepute; </w:t>
      </w:r>
      <w:r w:rsidDel="00000000" w:rsidR="00000000" w:rsidRPr="00000000">
        <w:rPr>
          <w:rtl w:val="0"/>
        </w:rPr>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keeping of records in respect of the goods and/or services being provided under the Key Sub-Contract, including the maintenance of Open Book Data; and</w:t>
      </w:r>
      <w:r w:rsidDel="00000000" w:rsidR="00000000" w:rsidRPr="00000000">
        <w:rPr>
          <w:rtl w:val="0"/>
        </w:rPr>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conduct of audits set out in Clause 6 of the Core Terms (Record keeping and reporting);</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provisions enabling the Supplier to terminate the Key Sub-Contract on notice on terms no more onerous on the Supplier than those imposed on CCS and the Buyer under Clauses 10.4 of the Core Terms (When CCS or the Buyer can end this contract) and 10.5 of the Core Terms (What happens if the contract ends) of this Contract; and</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spacing w:after="0" w:line="240" w:lineRule="auto"/>
      <w:jc w:val="both"/>
      <w:rPr>
        <w:rFonts w:ascii="Arial" w:cs="Arial" w:eastAsia="Arial" w:hAnsi="Arial"/>
        <w:color w:val="bfbfbf"/>
        <w:sz w:val="20"/>
        <w:szCs w:val="20"/>
      </w:rPr>
    </w:pPr>
    <w:bookmarkStart w:colFirst="0" w:colLast="0" w:name="_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6 (Key Subcontractors)</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